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066"/>
        </w:tabs>
        <w:spacing w:line="240" w:lineRule="auto"/>
        <w:jc w:val="right"/>
        <w:rPr>
          <w:color w:val="42e48b"/>
          <w:sz w:val="20"/>
          <w:szCs w:val="20"/>
        </w:rPr>
      </w:pPr>
      <w:r w:rsidDel="00000000" w:rsidR="00000000" w:rsidRPr="00000000">
        <w:rPr>
          <w:color w:val="666666"/>
          <w:sz w:val="16"/>
          <w:szCs w:val="16"/>
          <w:rtl w:val="0"/>
        </w:rPr>
        <w:t xml:space="preserve">Agentic Economy / AI-Native Compliance / Machine-Readable Trust</w:t>
        <w:br w:type="textWrapping"/>
      </w:r>
      <w:r w:rsidDel="00000000" w:rsidR="00000000" w:rsidRPr="00000000">
        <w:rPr>
          <w:sz w:val="16"/>
          <w:szCs w:val="16"/>
          <w:rtl w:val="0"/>
        </w:rPr>
        <w:br w:type="textWrapping"/>
      </w:r>
      <w:r w:rsidDel="00000000" w:rsidR="00000000" w:rsidRPr="00000000">
        <w:rPr>
          <w:sz w:val="18"/>
          <w:szCs w:val="18"/>
          <w:rtl w:val="0"/>
        </w:rPr>
        <w:t xml:space="preserve">Salzburg am 27. März 2026</w:t>
      </w:r>
      <w:r w:rsidDel="00000000" w:rsidR="00000000" w:rsidRPr="00000000">
        <w:rPr>
          <w:rtl w:val="0"/>
        </w:rPr>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color w:val="666666"/>
          <w:rtl w:val="0"/>
        </w:rPr>
        <w:t xml:space="preserve">PRESSEMITTEILUNG MÄRZ 2026</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0"/>
          <w:szCs w:val="30"/>
        </w:rPr>
      </w:pPr>
      <w:bookmarkStart w:colFirst="0" w:colLast="0" w:name="_tdln6tm6xlt9" w:id="0"/>
      <w:bookmarkEnd w:id="0"/>
      <w:r w:rsidDel="00000000" w:rsidR="00000000" w:rsidRPr="00000000">
        <w:rPr>
          <w:b w:val="1"/>
          <w:bCs w:val="1"/>
          <w:sz w:val="30"/>
          <w:szCs w:val="30"/>
          <w:rtl w:val="0"/>
        </w:rPr>
        <w:t xml:space="preserve">Vertrauen als Infrastruktur: sproof lanciert „Agent-ready“ API und setzt neuen Standard für KI-gesteuerte Integrationen</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Salzburg, den 27. März 2026 – Das Salzburger RegTech-Unternehmen sproof reagiert auf den radikalen Wandel der Softwareentwicklung („Vibe Coding“) und positioniert sich als technisches Fundament für die autonome KI-Wirtschaft. Mit der Veröffentlichung einer spezialisierten „Agent-ready“ API und KI-optimierter Dokumentations-Standards liefert das Unternehmen die regulatorische Infrastruktur, die es KI-Agenten ermöglicht, rechtsverbindliche Handlungen im europäischen Rechtsraum vorzunehmen.</w:t>
      </w:r>
    </w:p>
    <w:p w:rsidR="00000000" w:rsidDel="00000000" w:rsidP="00000000" w:rsidRDefault="00000000" w:rsidRPr="00000000" w14:paraId="00000006">
      <w:pPr>
        <w:spacing w:after="240" w:before="240" w:lineRule="auto"/>
        <w:rPr/>
      </w:pPr>
      <w:r w:rsidDel="00000000" w:rsidR="00000000" w:rsidRPr="00000000">
        <w:rPr>
          <w:rtl w:val="0"/>
        </w:rPr>
        <w:t xml:space="preserve">„In einer Wirtschaft, die zunehmend von autonomen Agenten gesteuert wird, wird die verifizierte Identität zur kritischen Ressource“, erklärt Dr. Clemens Brunner, CEO und Co-Founder von sproof. „Ein KI-System kann zwar komplexe Workflows in Sekunden erstellen, aber es kann keine rechtliche Haftung oder kryptografische Sicherheit ‚herbeiviben‘. Ohne einen dedizierten Trust Layer bleiben KI-Anwendungen in hochregulierten Bereichen bloße Spielerei. Wir liefern das fehlende Puzzleteil, das KI-Systeme erst voll geschäftsfähig macht. In dieser neuen Ära der Automatisierung führt an einer tief integrierten Vertrauens-Infrastruktur kein Weg mehr vorbei.“</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KI-optimierte Dokumentation: Integration in Rekordzeit</w:t>
      </w: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Um die Anbindung für Entwickler:innen und KI-Systeme so nahtlos wie möglich zu gestalten, hat sproof seine technische Dokumentation für die Zusammenarbeit mit Künstlicher Intelligenz optimiert. Durch die Bereitstellung strukturierter Formate und einer offen zugänglichen OpenAPI-Spezifikation können KI-Assistenten die API-Fähigkeiten sofort interpretieren und präzisen Code generieren.</w:t>
      </w:r>
    </w:p>
    <w:p w:rsidR="00000000" w:rsidDel="00000000" w:rsidP="00000000" w:rsidRDefault="00000000" w:rsidRPr="00000000" w14:paraId="00000009">
      <w:pPr>
        <w:spacing w:after="240" w:before="240" w:lineRule="auto"/>
        <w:rPr/>
      </w:pPr>
      <w:r w:rsidDel="00000000" w:rsidR="00000000" w:rsidRPr="00000000">
        <w:rPr>
          <w:rtl w:val="0"/>
        </w:rPr>
        <w:t xml:space="preserve">„Wir nutzen KI heute aktiv, um unsere Kund:innen bei der Anbindung zu unterstützen“, so Dr. Fabian Knirsch, CEO und Co-Founder von sproof. „Entwickler:innen können KI-Assistenten – wie den sproof Technical AI Consultant – mit einer einzigen URL auf unsere Dokumentation verweisen und erhalten sofort funktionsfähige Integrationslösungen. Wir reduzieren damit die 'Time-to-Trust' auf ein absolutes Minimum.“</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SaaS 2.0: Integration statt Isolation</w:t>
      </w: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sproof begreift den Wandel weg von isolierten Werkzeugen hin zu integralen Bestandteilen größerer, KI-gesteuerter Ökosysteme als Chance. Während die KI die Logik und den Code liefert, steuert sproof die Compliance-Ebene bei. Damit wird die sproof-Infrastruktur zum unverzichtbaren Standard für Unternehmen, die den Schritt von der einfachen Automatisierung zur rechtsverbindlichen Autonomisierung gehen wollen.</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Ausblick: Der sproof MCP-Server</w:t>
      </w: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Als nächsten logischen Schritt in der Roadmap kündigt sproof die Entwicklung eines eigenen MCP-Servers (Model Context Protocol) an. Dieser neue Standard wird es KI-Modellen ermöglichen, die Vertrauensdienste von sproof noch nativer in ihren Kontext einzubinden. Damit wird die Brücke zwischen der Intelligenz der Modelle und der regulatorischen Sicherheit der sproof-Plattform endgültig geschlossen.</w:t>
      </w:r>
    </w:p>
    <w:p w:rsidR="00000000" w:rsidDel="00000000" w:rsidP="00000000" w:rsidRDefault="00000000" w:rsidRPr="00000000" w14:paraId="0000000E">
      <w:pPr>
        <w:spacing w:after="240" w:before="240" w:lineRule="auto"/>
        <w:ind w:left="0" w:firstLine="0"/>
        <w:rPr>
          <w:b w:val="1"/>
          <w:bCs w:val="1"/>
        </w:rPr>
      </w:pPr>
      <w:r w:rsidDel="00000000" w:rsidR="00000000" w:rsidRPr="00000000">
        <w:rPr>
          <w:b w:val="1"/>
          <w:bCs w:val="1"/>
          <w:rtl w:val="0"/>
        </w:rPr>
        <w:t xml:space="preserve">Links:</w:t>
      </w:r>
    </w:p>
    <w:p w:rsidR="00000000" w:rsidDel="00000000" w:rsidP="00000000" w:rsidRDefault="00000000" w:rsidRPr="00000000" w14:paraId="0000000F">
      <w:pPr>
        <w:numPr>
          <w:ilvl w:val="0"/>
          <w:numId w:val="1"/>
        </w:numPr>
        <w:spacing w:after="240" w:before="240" w:lineRule="auto"/>
        <w:ind w:left="720" w:hanging="360"/>
        <w:rPr>
          <w:u w:val="none"/>
        </w:rPr>
      </w:pPr>
      <w:r w:rsidDel="00000000" w:rsidR="00000000" w:rsidRPr="00000000">
        <w:rPr>
          <w:b w:val="1"/>
          <w:bCs w:val="1"/>
          <w:rtl w:val="0"/>
        </w:rPr>
        <w:t xml:space="preserve">sproof API-Dokumentation und Technical AI Agent</w:t>
      </w:r>
      <w:r w:rsidDel="00000000" w:rsidR="00000000" w:rsidRPr="00000000">
        <w:rPr>
          <w:rtl w:val="0"/>
        </w:rPr>
        <w:t xml:space="preserve">:</w:t>
      </w:r>
      <w:r w:rsidDel="00000000" w:rsidR="00000000" w:rsidRPr="00000000">
        <w:rPr>
          <w:b w:val="1"/>
          <w:bCs w:val="1"/>
          <w:rtl w:val="0"/>
        </w:rPr>
        <w:t xml:space="preserve"> </w:t>
      </w:r>
      <w:hyperlink r:id="rId6">
        <w:r w:rsidDel="00000000" w:rsidR="00000000" w:rsidRPr="00000000">
          <w:rPr>
            <w:color w:val="1155cc"/>
            <w:u w:val="single"/>
            <w:rtl w:val="0"/>
          </w:rPr>
          <w:t xml:space="preserve">https://docs.sproof.com/</w:t>
        </w:r>
      </w:hyperlink>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00" w:lineRule="auto"/>
        <w:rPr>
          <w:b w:val="1"/>
          <w:bCs w:val="1"/>
        </w:rPr>
      </w:pPr>
      <w:r w:rsidDel="00000000" w:rsidR="00000000" w:rsidRPr="00000000">
        <w:rPr>
          <w:b w:val="1"/>
          <w:bCs w:val="1"/>
          <w:rtl w:val="0"/>
        </w:rPr>
        <w:t xml:space="preserve">Über sproof GmbH</w:t>
      </w:r>
    </w:p>
    <w:p w:rsidR="00000000" w:rsidDel="00000000" w:rsidP="00000000" w:rsidRDefault="00000000" w:rsidRPr="00000000" w14:paraId="00000012">
      <w:pPr>
        <w:rPr/>
      </w:pPr>
      <w:r w:rsidDel="00000000" w:rsidR="00000000" w:rsidRPr="00000000">
        <w:rPr>
          <w:rtl w:val="0"/>
        </w:rPr>
        <w:t xml:space="preserve">Die sproof GmbH mit Sitz in Salzburg und Wien ist die europäische Expertin für digitale Signaturlösungen und Identitätsprüfungen. Mit einer modularen Plattform vereint sproof beide Prozesse in einem nahtlosen, rechtskonformen Workflow. Das Ziel: Unternehmen in Europa dabei zu unterstützen, ihre Vertrags- und Onboarding-Prozesse vollständig zu digitalisieren – mit maximalem Vertrauen, eIDAS-Konformität, strengem Datenschutz und einem klaren Fokus auf europäische digitale Souveränität.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00" w:line="276" w:lineRule="auto"/>
        <w:rPr>
          <w:b w:val="1"/>
          <w:bCs w:val="1"/>
        </w:rPr>
      </w:pPr>
      <w:r w:rsidDel="00000000" w:rsidR="00000000" w:rsidRPr="00000000">
        <w:rPr>
          <w:b w:val="1"/>
          <w:bCs w:val="1"/>
          <w:rtl w:val="0"/>
        </w:rPr>
        <w:t xml:space="preserve">Rückfragehinweis</w:t>
      </w:r>
    </w:p>
    <w:p w:rsidR="00000000" w:rsidDel="00000000" w:rsidP="00000000" w:rsidRDefault="00000000" w:rsidRPr="00000000" w14:paraId="00000015">
      <w:pPr>
        <w:spacing w:line="276" w:lineRule="auto"/>
        <w:rPr/>
      </w:pPr>
      <w:r w:rsidDel="00000000" w:rsidR="00000000" w:rsidRPr="00000000">
        <w:rPr>
          <w:rtl w:val="0"/>
        </w:rPr>
        <w:t xml:space="preserve">Bennet Dietrich</w:t>
      </w:r>
    </w:p>
    <w:p w:rsidR="00000000" w:rsidDel="00000000" w:rsidP="00000000" w:rsidRDefault="00000000" w:rsidRPr="00000000" w14:paraId="00000016">
      <w:pPr>
        <w:spacing w:line="276" w:lineRule="auto"/>
        <w:rPr/>
      </w:pPr>
      <w:r w:rsidDel="00000000" w:rsidR="00000000" w:rsidRPr="00000000">
        <w:rPr>
          <w:rtl w:val="0"/>
        </w:rPr>
        <w:t xml:space="preserve">Head of Marketing</w:t>
      </w:r>
    </w:p>
    <w:p w:rsidR="00000000" w:rsidDel="00000000" w:rsidP="00000000" w:rsidRDefault="00000000" w:rsidRPr="00000000" w14:paraId="00000017">
      <w:pPr>
        <w:spacing w:line="276" w:lineRule="auto"/>
        <w:rPr/>
      </w:pPr>
      <w:r w:rsidDel="00000000" w:rsidR="00000000" w:rsidRPr="00000000">
        <w:rPr>
          <w:rtl w:val="0"/>
        </w:rPr>
        <w:t xml:space="preserve">+43 (0) 5 0423 33</w:t>
      </w:r>
    </w:p>
    <w:p w:rsidR="00000000" w:rsidDel="00000000" w:rsidP="00000000" w:rsidRDefault="00000000" w:rsidRPr="00000000" w14:paraId="00000018">
      <w:pPr>
        <w:spacing w:line="276" w:lineRule="auto"/>
        <w:rPr>
          <w:b w:val="1"/>
          <w:bCs w:val="1"/>
          <w:color w:val="297048"/>
        </w:rPr>
      </w:pPr>
      <w:hyperlink r:id="rId7">
        <w:r w:rsidDel="00000000" w:rsidR="00000000" w:rsidRPr="00000000">
          <w:rPr>
            <w:b w:val="1"/>
            <w:bCs w:val="1"/>
            <w:color w:val="297048"/>
            <w:u w:val="single"/>
            <w:rtl w:val="0"/>
          </w:rPr>
          <w:t xml:space="preserve">bennet.dietrich@sproof.com</w:t>
        </w:r>
      </w:hyperlink>
      <w:r w:rsidDel="00000000" w:rsidR="00000000" w:rsidRPr="00000000">
        <w:rPr>
          <w:rtl w:val="0"/>
        </w:rPr>
      </w:r>
    </w:p>
    <w:p w:rsidR="00000000" w:rsidDel="00000000" w:rsidP="00000000" w:rsidRDefault="00000000" w:rsidRPr="00000000" w14:paraId="00000019">
      <w:pPr>
        <w:spacing w:line="276" w:lineRule="auto"/>
        <w:rPr>
          <w:color w:val="297048"/>
        </w:rPr>
      </w:pPr>
      <w:hyperlink r:id="rId8">
        <w:r w:rsidDel="00000000" w:rsidR="00000000" w:rsidRPr="00000000">
          <w:rPr>
            <w:b w:val="1"/>
            <w:bCs w:val="1"/>
            <w:color w:val="297048"/>
            <w:u w:val="single"/>
            <w:rtl w:val="0"/>
          </w:rPr>
          <w:t xml:space="preserve">www.sproof.com</w:t>
        </w:r>
      </w:hyperlink>
      <w:r w:rsidDel="00000000" w:rsidR="00000000" w:rsidRPr="00000000">
        <w:rPr>
          <w:b w:val="1"/>
          <w:bCs w:val="1"/>
          <w:color w:val="297048"/>
          <w:rtl w:val="0"/>
        </w:rPr>
        <w:t xml:space="preserv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right" w:leader="none" w:pos="9066"/>
      </w:tabs>
      <w:spacing w:line="240" w:lineRule="auto"/>
      <w:rPr/>
    </w:pPr>
    <w:r w:rsidDel="00000000" w:rsidR="00000000" w:rsidRPr="00000000">
      <w:rPr>
        <w:rFonts w:ascii="Calibri" w:cs="Calibri" w:eastAsia="Calibri" w:hAnsi="Calibri"/>
        <w:b w:val="1"/>
        <w:bCs w:val="1"/>
        <w:sz w:val="16"/>
        <w:szCs w:val="16"/>
      </w:rPr>
      <w:drawing>
        <wp:inline distB="114300" distT="114300" distL="114300" distR="114300">
          <wp:extent cx="1230150" cy="2911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30150" cy="291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sproof.com/" TargetMode="External"/><Relationship Id="rId7" Type="http://schemas.openxmlformats.org/officeDocument/2006/relationships/hyperlink" Target="mailto:bennet.dietrich@sproof.com" TargetMode="External"/><Relationship Id="rId8" Type="http://schemas.openxmlformats.org/officeDocument/2006/relationships/hyperlink" Target="http://www.spro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